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34" w:rsidRPr="00FC1530" w:rsidRDefault="007A7D34" w:rsidP="007A7D34">
      <w:pPr>
        <w:pStyle w:val="Head21"/>
        <w:tabs>
          <w:tab w:val="left" w:pos="3060"/>
          <w:tab w:val="left" w:pos="3330"/>
          <w:tab w:val="left" w:pos="3600"/>
          <w:tab w:val="left" w:pos="3690"/>
          <w:tab w:val="left" w:pos="3780"/>
          <w:tab w:val="left" w:pos="7560"/>
        </w:tabs>
        <w:suppressAutoHyphens w:val="0"/>
        <w:rPr>
          <w:rFonts w:ascii="Century Gothic" w:hAnsi="Century Gothic"/>
          <w:sz w:val="22"/>
          <w:szCs w:val="22"/>
          <w:lang w:val="en-GB"/>
        </w:rPr>
      </w:pPr>
      <w:r w:rsidRPr="00FC1530">
        <w:rPr>
          <w:rFonts w:ascii="Century Gothic" w:hAnsi="Century Gothic"/>
          <w:noProof/>
          <w:sz w:val="22"/>
          <w:szCs w:val="22"/>
          <w:lang w:val="en-GB" w:eastAsia="en-GB"/>
        </w:rPr>
        <w:drawing>
          <wp:inline distT="0" distB="0" distL="0" distR="0" wp14:anchorId="70E6C2C2" wp14:editId="5FCA931F">
            <wp:extent cx="1536700" cy="10191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7344" cy="1026234"/>
                    </a:xfrm>
                    <a:prstGeom prst="rect">
                      <a:avLst/>
                    </a:prstGeom>
                    <a:noFill/>
                    <a:ln>
                      <a:noFill/>
                    </a:ln>
                  </pic:spPr>
                </pic:pic>
              </a:graphicData>
            </a:graphic>
          </wp:inline>
        </w:drawing>
      </w:r>
    </w:p>
    <w:p w:rsidR="007A7D34" w:rsidRPr="00FC1530" w:rsidRDefault="007A7D34" w:rsidP="007A7D34">
      <w:pPr>
        <w:pStyle w:val="BodyText2"/>
        <w:jc w:val="center"/>
        <w:outlineLvl w:val="0"/>
        <w:rPr>
          <w:rFonts w:ascii="Century Gothic" w:hAnsi="Century Gothic"/>
          <w:b/>
          <w:sz w:val="22"/>
          <w:szCs w:val="22"/>
          <w:lang w:val="en-US"/>
        </w:rPr>
      </w:pPr>
    </w:p>
    <w:p w:rsidR="007A7D34" w:rsidRPr="00847C5B" w:rsidRDefault="007A7D34" w:rsidP="007A7D34">
      <w:pPr>
        <w:pStyle w:val="BodyText2"/>
        <w:jc w:val="both"/>
        <w:outlineLvl w:val="0"/>
        <w:rPr>
          <w:rFonts w:ascii="Century Gothic" w:hAnsi="Century Gothic"/>
          <w:b/>
          <w:sz w:val="22"/>
          <w:szCs w:val="22"/>
          <w:u w:val="single"/>
          <w:lang w:val="en-US"/>
        </w:rPr>
      </w:pPr>
      <w:r w:rsidRPr="00847C5B">
        <w:rPr>
          <w:rFonts w:ascii="Century Gothic" w:hAnsi="Century Gothic"/>
          <w:b/>
          <w:sz w:val="22"/>
          <w:szCs w:val="22"/>
          <w:u w:val="single"/>
          <w:lang w:val="en-US"/>
        </w:rPr>
        <w:t xml:space="preserve">INVITATION TO TENDER  </w:t>
      </w:r>
    </w:p>
    <w:p w:rsidR="007A7D34" w:rsidRPr="00FC1530" w:rsidRDefault="007A7D34" w:rsidP="007A7D34">
      <w:pPr>
        <w:pStyle w:val="BodyText2"/>
        <w:jc w:val="both"/>
        <w:rPr>
          <w:rFonts w:ascii="Century Gothic" w:hAnsi="Century Gothic"/>
          <w:b/>
          <w:sz w:val="22"/>
          <w:szCs w:val="22"/>
          <w:lang w:val="en-US"/>
        </w:rPr>
      </w:pPr>
    </w:p>
    <w:p w:rsidR="007A7D34" w:rsidRPr="00FC1530" w:rsidRDefault="007A7D34" w:rsidP="007A7D34">
      <w:pPr>
        <w:pStyle w:val="BodyText2"/>
        <w:jc w:val="both"/>
        <w:rPr>
          <w:rFonts w:ascii="Century Gothic" w:hAnsi="Century Gothic"/>
          <w:b/>
          <w:sz w:val="22"/>
          <w:szCs w:val="22"/>
        </w:rPr>
      </w:pPr>
      <w:r w:rsidRPr="00FC1530">
        <w:rPr>
          <w:rFonts w:ascii="Century Gothic" w:hAnsi="Century Gothic"/>
          <w:b/>
          <w:sz w:val="22"/>
          <w:szCs w:val="22"/>
        </w:rPr>
        <w:t>The Kenya Power and Lighting Company PLC invites</w:t>
      </w:r>
      <w:r w:rsidRPr="00FC1530">
        <w:rPr>
          <w:rFonts w:ascii="Century Gothic" w:hAnsi="Century Gothic"/>
          <w:b/>
          <w:sz w:val="22"/>
          <w:szCs w:val="22"/>
          <w:lang w:val="en-US"/>
        </w:rPr>
        <w:t xml:space="preserve"> tenders from </w:t>
      </w:r>
      <w:r w:rsidRPr="00FC1530">
        <w:rPr>
          <w:rFonts w:ascii="Century Gothic" w:hAnsi="Century Gothic"/>
          <w:b/>
          <w:sz w:val="22"/>
          <w:szCs w:val="22"/>
        </w:rPr>
        <w:t>interested bidders</w:t>
      </w:r>
      <w:r w:rsidRPr="00FC1530">
        <w:rPr>
          <w:rFonts w:ascii="Century Gothic" w:hAnsi="Century Gothic"/>
          <w:b/>
          <w:sz w:val="22"/>
          <w:szCs w:val="22"/>
          <w:lang w:val="en-US"/>
        </w:rPr>
        <w:t xml:space="preserve"> for </w:t>
      </w:r>
      <w:r>
        <w:rPr>
          <w:rFonts w:ascii="Century Gothic" w:hAnsi="Century Gothic"/>
          <w:b/>
          <w:sz w:val="22"/>
          <w:szCs w:val="22"/>
          <w:lang w:val="en-US"/>
        </w:rPr>
        <w:t>procurement of the following:-</w:t>
      </w:r>
      <w:r w:rsidRPr="00FC1530">
        <w:rPr>
          <w:rFonts w:ascii="Century Gothic" w:hAnsi="Century Gothic"/>
          <w:b/>
          <w:color w:val="000000" w:themeColor="text1"/>
          <w:sz w:val="22"/>
          <w:szCs w:val="22"/>
        </w:rPr>
        <w:t xml:space="preserve"> </w:t>
      </w:r>
    </w:p>
    <w:p w:rsidR="007A7D34" w:rsidRPr="00FC1530" w:rsidRDefault="007A7D34" w:rsidP="007A7D34">
      <w:pPr>
        <w:pStyle w:val="BodyText2"/>
        <w:jc w:val="both"/>
        <w:rPr>
          <w:rFonts w:ascii="Century Gothic" w:hAnsi="Century Gothic"/>
          <w:sz w:val="22"/>
          <w:szCs w:val="22"/>
        </w:rPr>
      </w:pPr>
    </w:p>
    <w:tbl>
      <w:tblPr>
        <w:tblpPr w:leftFromText="180" w:rightFromText="180" w:vertAnchor="text" w:horzAnchor="margin" w:tblpX="89" w:tblpY="32"/>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90"/>
        <w:gridCol w:w="2970"/>
        <w:gridCol w:w="1620"/>
        <w:gridCol w:w="1861"/>
      </w:tblGrid>
      <w:tr w:rsidR="007A7D34" w:rsidRPr="00A22804" w:rsidTr="003C77B2">
        <w:trPr>
          <w:trHeight w:val="711"/>
        </w:trPr>
        <w:tc>
          <w:tcPr>
            <w:tcW w:w="715" w:type="dxa"/>
            <w:tcBorders>
              <w:top w:val="single" w:sz="4" w:space="0" w:color="auto"/>
              <w:left w:val="single" w:sz="4" w:space="0" w:color="auto"/>
              <w:bottom w:val="single" w:sz="4" w:space="0" w:color="auto"/>
              <w:right w:val="single" w:sz="4" w:space="0" w:color="auto"/>
            </w:tcBorders>
          </w:tcPr>
          <w:p w:rsidR="007A7D34" w:rsidRPr="00A22804" w:rsidRDefault="007A7D34" w:rsidP="003C77B2">
            <w:pPr>
              <w:spacing w:line="240" w:lineRule="auto"/>
              <w:jc w:val="both"/>
              <w:rPr>
                <w:rFonts w:ascii="Century Gothic" w:hAnsi="Century Gothic"/>
                <w:b/>
                <w:sz w:val="20"/>
                <w:szCs w:val="20"/>
              </w:rPr>
            </w:pPr>
            <w:r w:rsidRPr="00A22804">
              <w:rPr>
                <w:rFonts w:ascii="Century Gothic" w:hAnsi="Century Gothic"/>
                <w:b/>
                <w:sz w:val="20"/>
                <w:szCs w:val="20"/>
              </w:rPr>
              <w:t>Item No.</w:t>
            </w:r>
          </w:p>
        </w:tc>
        <w:tc>
          <w:tcPr>
            <w:tcW w:w="2790" w:type="dxa"/>
            <w:tcBorders>
              <w:top w:val="single" w:sz="4" w:space="0" w:color="auto"/>
              <w:left w:val="single" w:sz="4" w:space="0" w:color="auto"/>
              <w:bottom w:val="single" w:sz="4" w:space="0" w:color="auto"/>
              <w:right w:val="single" w:sz="4" w:space="0" w:color="auto"/>
            </w:tcBorders>
            <w:hideMark/>
          </w:tcPr>
          <w:p w:rsidR="007A7D34" w:rsidRPr="00A22804" w:rsidRDefault="007A7D34" w:rsidP="003C77B2">
            <w:pPr>
              <w:spacing w:line="240" w:lineRule="auto"/>
              <w:jc w:val="both"/>
              <w:rPr>
                <w:rFonts w:ascii="Century Gothic" w:hAnsi="Century Gothic"/>
                <w:b/>
                <w:sz w:val="20"/>
                <w:szCs w:val="20"/>
              </w:rPr>
            </w:pPr>
            <w:r w:rsidRPr="00A22804">
              <w:rPr>
                <w:rFonts w:ascii="Century Gothic" w:hAnsi="Century Gothic"/>
                <w:b/>
                <w:sz w:val="20"/>
                <w:szCs w:val="20"/>
              </w:rPr>
              <w:t>Item Description</w:t>
            </w:r>
          </w:p>
        </w:tc>
        <w:tc>
          <w:tcPr>
            <w:tcW w:w="2970" w:type="dxa"/>
            <w:tcBorders>
              <w:top w:val="single" w:sz="4" w:space="0" w:color="auto"/>
              <w:left w:val="single" w:sz="4" w:space="0" w:color="auto"/>
              <w:bottom w:val="single" w:sz="4" w:space="0" w:color="auto"/>
              <w:right w:val="single" w:sz="4" w:space="0" w:color="auto"/>
            </w:tcBorders>
            <w:hideMark/>
          </w:tcPr>
          <w:p w:rsidR="007A7D34" w:rsidRPr="00A22804" w:rsidRDefault="007A7D34" w:rsidP="003C77B2">
            <w:pPr>
              <w:spacing w:line="240" w:lineRule="auto"/>
              <w:jc w:val="both"/>
              <w:rPr>
                <w:rFonts w:ascii="Century Gothic" w:hAnsi="Century Gothic"/>
                <w:b/>
                <w:sz w:val="20"/>
                <w:szCs w:val="20"/>
              </w:rPr>
            </w:pPr>
            <w:r w:rsidRPr="00A22804">
              <w:rPr>
                <w:rFonts w:ascii="Century Gothic" w:hAnsi="Century Gothic"/>
                <w:b/>
                <w:sz w:val="20"/>
                <w:szCs w:val="20"/>
              </w:rPr>
              <w:t>Tender Number</w:t>
            </w:r>
          </w:p>
        </w:tc>
        <w:tc>
          <w:tcPr>
            <w:tcW w:w="1620" w:type="dxa"/>
            <w:tcBorders>
              <w:top w:val="single" w:sz="4" w:space="0" w:color="auto"/>
              <w:left w:val="single" w:sz="4" w:space="0" w:color="auto"/>
              <w:bottom w:val="single" w:sz="4" w:space="0" w:color="auto"/>
              <w:right w:val="single" w:sz="4" w:space="0" w:color="auto"/>
            </w:tcBorders>
          </w:tcPr>
          <w:p w:rsidR="007A7D34" w:rsidRPr="00A22804" w:rsidRDefault="007A7D34" w:rsidP="003C77B2">
            <w:pPr>
              <w:pStyle w:val="NoSpacing"/>
              <w:jc w:val="both"/>
              <w:rPr>
                <w:rFonts w:ascii="Century Gothic" w:hAnsi="Century Gothic"/>
                <w:sz w:val="20"/>
                <w:szCs w:val="20"/>
              </w:rPr>
            </w:pPr>
            <w:r w:rsidRPr="00A22804">
              <w:rPr>
                <w:rFonts w:ascii="Century Gothic" w:hAnsi="Century Gothic"/>
                <w:b/>
                <w:sz w:val="20"/>
                <w:szCs w:val="20"/>
              </w:rPr>
              <w:t>Tender Commencement Date</w:t>
            </w:r>
          </w:p>
        </w:tc>
        <w:tc>
          <w:tcPr>
            <w:tcW w:w="1861" w:type="dxa"/>
            <w:tcBorders>
              <w:top w:val="single" w:sz="4" w:space="0" w:color="auto"/>
              <w:left w:val="single" w:sz="4" w:space="0" w:color="auto"/>
              <w:bottom w:val="single" w:sz="4" w:space="0" w:color="auto"/>
              <w:right w:val="single" w:sz="4" w:space="0" w:color="auto"/>
            </w:tcBorders>
          </w:tcPr>
          <w:p w:rsidR="007A7D34" w:rsidRPr="00A22804" w:rsidRDefault="007A7D34" w:rsidP="003C77B2">
            <w:pPr>
              <w:pStyle w:val="NoSpacing"/>
              <w:jc w:val="both"/>
              <w:rPr>
                <w:rFonts w:ascii="Century Gothic" w:hAnsi="Century Gothic"/>
                <w:b/>
                <w:sz w:val="20"/>
                <w:szCs w:val="20"/>
              </w:rPr>
            </w:pPr>
            <w:r>
              <w:rPr>
                <w:rFonts w:ascii="Century Gothic" w:hAnsi="Century Gothic"/>
                <w:b/>
                <w:sz w:val="20"/>
                <w:szCs w:val="20"/>
              </w:rPr>
              <w:t xml:space="preserve">Tender </w:t>
            </w:r>
            <w:r w:rsidRPr="00A22804">
              <w:rPr>
                <w:rFonts w:ascii="Century Gothic" w:hAnsi="Century Gothic"/>
                <w:b/>
                <w:sz w:val="20"/>
                <w:szCs w:val="20"/>
              </w:rPr>
              <w:t xml:space="preserve">Closing </w:t>
            </w:r>
          </w:p>
          <w:p w:rsidR="007A7D34" w:rsidRPr="00A22804" w:rsidRDefault="007A7D34" w:rsidP="003C77B2">
            <w:pPr>
              <w:pStyle w:val="NoSpacing"/>
              <w:jc w:val="both"/>
              <w:rPr>
                <w:rFonts w:ascii="Century Gothic" w:hAnsi="Century Gothic"/>
                <w:sz w:val="20"/>
                <w:szCs w:val="20"/>
              </w:rPr>
            </w:pPr>
            <w:r w:rsidRPr="00A22804">
              <w:rPr>
                <w:rFonts w:ascii="Century Gothic" w:hAnsi="Century Gothic"/>
                <w:b/>
                <w:sz w:val="20"/>
                <w:szCs w:val="20"/>
              </w:rPr>
              <w:t>Date</w:t>
            </w:r>
          </w:p>
        </w:tc>
      </w:tr>
      <w:tr w:rsidR="007A7D34" w:rsidRPr="00A22804" w:rsidTr="003C77B2">
        <w:trPr>
          <w:trHeight w:val="950"/>
        </w:trPr>
        <w:tc>
          <w:tcPr>
            <w:tcW w:w="715" w:type="dxa"/>
            <w:tcBorders>
              <w:top w:val="single" w:sz="4" w:space="0" w:color="auto"/>
              <w:left w:val="single" w:sz="4" w:space="0" w:color="auto"/>
              <w:bottom w:val="single" w:sz="4" w:space="0" w:color="auto"/>
              <w:right w:val="single" w:sz="4" w:space="0" w:color="auto"/>
            </w:tcBorders>
          </w:tcPr>
          <w:p w:rsidR="007A7D34" w:rsidRPr="00A22804" w:rsidRDefault="007A7D34" w:rsidP="003C77B2">
            <w:pPr>
              <w:pStyle w:val="Heading3"/>
              <w:jc w:val="both"/>
              <w:rPr>
                <w:rFonts w:ascii="Century Gothic" w:hAnsi="Century Gothic"/>
                <w:sz w:val="20"/>
                <w:lang w:val="en-US"/>
              </w:rPr>
            </w:pPr>
            <w:r>
              <w:rPr>
                <w:rFonts w:ascii="Century Gothic" w:hAnsi="Century Gothic"/>
                <w:sz w:val="20"/>
                <w:lang w:val="en-US"/>
              </w:rPr>
              <w:t>1</w:t>
            </w:r>
          </w:p>
        </w:tc>
        <w:tc>
          <w:tcPr>
            <w:tcW w:w="2790" w:type="dxa"/>
          </w:tcPr>
          <w:p w:rsidR="007A7D34" w:rsidRPr="00486DBC" w:rsidRDefault="007A7D34" w:rsidP="003C77B2">
            <w:pPr>
              <w:pStyle w:val="Heading3"/>
              <w:rPr>
                <w:rFonts w:ascii="Century Gothic" w:hAnsi="Century Gothic"/>
                <w:color w:val="000000" w:themeColor="text1"/>
                <w:sz w:val="22"/>
                <w:szCs w:val="22"/>
              </w:rPr>
            </w:pPr>
            <w:r w:rsidRPr="00F10ECD">
              <w:rPr>
                <w:rFonts w:ascii="Century Gothic" w:hAnsi="Century Gothic"/>
                <w:color w:val="000000" w:themeColor="text1"/>
                <w:sz w:val="22"/>
                <w:szCs w:val="22"/>
              </w:rPr>
              <w:t xml:space="preserve">Procurement of construction of a transport workshop at </w:t>
            </w:r>
            <w:proofErr w:type="spellStart"/>
            <w:r w:rsidRPr="00F10ECD">
              <w:rPr>
                <w:rFonts w:ascii="Century Gothic" w:hAnsi="Century Gothic"/>
                <w:color w:val="000000" w:themeColor="text1"/>
                <w:sz w:val="22"/>
                <w:szCs w:val="22"/>
              </w:rPr>
              <w:t>Kiganjo</w:t>
            </w:r>
            <w:proofErr w:type="spellEnd"/>
            <w:r w:rsidRPr="00F10ECD">
              <w:rPr>
                <w:rFonts w:ascii="Century Gothic" w:hAnsi="Century Gothic"/>
                <w:color w:val="000000" w:themeColor="text1"/>
                <w:sz w:val="22"/>
                <w:szCs w:val="22"/>
              </w:rPr>
              <w:t>,</w:t>
            </w:r>
            <w:r>
              <w:rPr>
                <w:rFonts w:ascii="Century Gothic" w:hAnsi="Century Gothic"/>
                <w:color w:val="000000" w:themeColor="text1"/>
                <w:sz w:val="22"/>
                <w:szCs w:val="22"/>
              </w:rPr>
              <w:t xml:space="preserve"> </w:t>
            </w:r>
            <w:r w:rsidRPr="00F10ECD">
              <w:rPr>
                <w:rFonts w:ascii="Century Gothic" w:hAnsi="Century Gothic"/>
                <w:color w:val="000000" w:themeColor="text1"/>
                <w:sz w:val="22"/>
                <w:szCs w:val="22"/>
              </w:rPr>
              <w:t>Mt</w:t>
            </w:r>
            <w:r>
              <w:rPr>
                <w:rFonts w:ascii="Century Gothic" w:hAnsi="Century Gothic"/>
                <w:color w:val="000000" w:themeColor="text1"/>
                <w:sz w:val="22"/>
                <w:szCs w:val="22"/>
              </w:rPr>
              <w:t>.</w:t>
            </w:r>
            <w:r w:rsidRPr="00F10ECD">
              <w:rPr>
                <w:rFonts w:ascii="Century Gothic" w:hAnsi="Century Gothic"/>
                <w:color w:val="000000" w:themeColor="text1"/>
                <w:sz w:val="22"/>
                <w:szCs w:val="22"/>
              </w:rPr>
              <w:t xml:space="preserve"> Kenya region</w:t>
            </w:r>
          </w:p>
        </w:tc>
        <w:tc>
          <w:tcPr>
            <w:tcW w:w="2970" w:type="dxa"/>
          </w:tcPr>
          <w:p w:rsidR="007A7D34" w:rsidRPr="00FC1530" w:rsidRDefault="007A7D34" w:rsidP="003C77B2">
            <w:pPr>
              <w:spacing w:line="240" w:lineRule="auto"/>
              <w:rPr>
                <w:rFonts w:ascii="Century Gothic" w:eastAsia="Times New Roman" w:hAnsi="Century Gothic"/>
                <w:color w:val="000000" w:themeColor="text1"/>
              </w:rPr>
            </w:pPr>
            <w:r>
              <w:rPr>
                <w:rFonts w:ascii="Century Gothic" w:eastAsia="Times New Roman" w:hAnsi="Century Gothic"/>
                <w:color w:val="000000" w:themeColor="text1"/>
              </w:rPr>
              <w:t>KP5/9A/3/10/OT/02/23-24</w:t>
            </w:r>
          </w:p>
        </w:tc>
        <w:tc>
          <w:tcPr>
            <w:tcW w:w="1620" w:type="dxa"/>
            <w:tcBorders>
              <w:top w:val="single" w:sz="4" w:space="0" w:color="auto"/>
              <w:left w:val="single" w:sz="4" w:space="0" w:color="auto"/>
              <w:bottom w:val="single" w:sz="4" w:space="0" w:color="auto"/>
              <w:right w:val="single" w:sz="4" w:space="0" w:color="auto"/>
            </w:tcBorders>
          </w:tcPr>
          <w:p w:rsidR="007A7D34" w:rsidRPr="00847C5B" w:rsidRDefault="007A7D34" w:rsidP="003C77B2">
            <w:pPr>
              <w:spacing w:line="240" w:lineRule="auto"/>
              <w:rPr>
                <w:rFonts w:ascii="Century Gothic" w:hAnsi="Century Gothic"/>
              </w:rPr>
            </w:pPr>
            <w:r>
              <w:rPr>
                <w:rFonts w:ascii="Century Gothic" w:hAnsi="Century Gothic"/>
              </w:rPr>
              <w:t>25</w:t>
            </w:r>
            <w:r w:rsidRPr="00847C5B">
              <w:rPr>
                <w:rFonts w:ascii="Century Gothic" w:hAnsi="Century Gothic"/>
              </w:rPr>
              <w:t>.10.2023</w:t>
            </w:r>
          </w:p>
        </w:tc>
        <w:tc>
          <w:tcPr>
            <w:tcW w:w="1861" w:type="dxa"/>
            <w:tcBorders>
              <w:top w:val="single" w:sz="4" w:space="0" w:color="auto"/>
              <w:left w:val="single" w:sz="4" w:space="0" w:color="auto"/>
              <w:bottom w:val="single" w:sz="4" w:space="0" w:color="auto"/>
              <w:right w:val="single" w:sz="4" w:space="0" w:color="auto"/>
            </w:tcBorders>
          </w:tcPr>
          <w:p w:rsidR="007A7D34" w:rsidRPr="00847C5B" w:rsidRDefault="007A7D34" w:rsidP="003C77B2">
            <w:pPr>
              <w:spacing w:line="240" w:lineRule="auto"/>
              <w:rPr>
                <w:rFonts w:ascii="Century Gothic" w:hAnsi="Century Gothic"/>
              </w:rPr>
            </w:pPr>
            <w:r>
              <w:rPr>
                <w:rFonts w:ascii="Century Gothic" w:hAnsi="Century Gothic"/>
              </w:rPr>
              <w:t>07.11</w:t>
            </w:r>
            <w:r w:rsidRPr="00847C5B">
              <w:rPr>
                <w:rFonts w:ascii="Century Gothic" w:hAnsi="Century Gothic"/>
              </w:rPr>
              <w:t>.2023</w:t>
            </w:r>
            <w:r>
              <w:rPr>
                <w:rFonts w:ascii="Century Gothic" w:hAnsi="Century Gothic"/>
              </w:rPr>
              <w:t xml:space="preserve"> 10.00am</w:t>
            </w:r>
          </w:p>
        </w:tc>
      </w:tr>
    </w:tbl>
    <w:p w:rsidR="007A7D34" w:rsidRDefault="007A7D34" w:rsidP="007A7D34">
      <w:pPr>
        <w:pStyle w:val="BodyText3"/>
        <w:jc w:val="both"/>
        <w:rPr>
          <w:rFonts w:ascii="Century Gothic" w:hAnsi="Century Gothic"/>
          <w:sz w:val="22"/>
          <w:szCs w:val="22"/>
        </w:rPr>
      </w:pPr>
    </w:p>
    <w:p w:rsidR="007A7D34" w:rsidRDefault="007A7D34" w:rsidP="007A7D34">
      <w:pPr>
        <w:pStyle w:val="BodyText3"/>
        <w:jc w:val="both"/>
        <w:rPr>
          <w:rFonts w:ascii="Century Gothic" w:hAnsi="Century Gothic"/>
          <w:sz w:val="22"/>
          <w:szCs w:val="22"/>
        </w:rPr>
      </w:pPr>
      <w:r>
        <w:rPr>
          <w:rFonts w:ascii="Century Gothic" w:hAnsi="Century Gothic"/>
          <w:sz w:val="22"/>
          <w:szCs w:val="22"/>
        </w:rPr>
        <w:t xml:space="preserve">Tender Documents detailing the requirements of the above tender </w:t>
      </w:r>
      <w:proofErr w:type="gramStart"/>
      <w:r>
        <w:rPr>
          <w:rFonts w:ascii="Century Gothic" w:hAnsi="Century Gothic"/>
          <w:sz w:val="22"/>
          <w:szCs w:val="22"/>
        </w:rPr>
        <w:t>may be obtained</w:t>
      </w:r>
      <w:proofErr w:type="gramEnd"/>
      <w:r>
        <w:rPr>
          <w:rFonts w:ascii="Century Gothic" w:hAnsi="Century Gothic"/>
          <w:sz w:val="22"/>
          <w:szCs w:val="22"/>
        </w:rPr>
        <w:t xml:space="preserve"> from KPLC E-procurement Portal available on KPLC website </w:t>
      </w:r>
      <w:hyperlink r:id="rId5" w:history="1">
        <w:r w:rsidRPr="008941D8">
          <w:rPr>
            <w:rStyle w:val="Hyperlink"/>
            <w:rFonts w:ascii="Century Gothic" w:hAnsi="Century Gothic"/>
            <w:sz w:val="22"/>
            <w:szCs w:val="22"/>
          </w:rPr>
          <w:t>www.kplc.co.ke</w:t>
        </w:r>
      </w:hyperlink>
      <w:r>
        <w:rPr>
          <w:rFonts w:ascii="Century Gothic" w:hAnsi="Century Gothic"/>
          <w:sz w:val="22"/>
          <w:szCs w:val="22"/>
        </w:rPr>
        <w:t xml:space="preserve"> from the </w:t>
      </w:r>
      <w:r w:rsidRPr="00B4317A">
        <w:rPr>
          <w:rFonts w:ascii="Century Gothic" w:hAnsi="Century Gothic"/>
          <w:b/>
          <w:sz w:val="22"/>
          <w:szCs w:val="22"/>
        </w:rPr>
        <w:t>dates shown above</w:t>
      </w:r>
      <w:r>
        <w:rPr>
          <w:rFonts w:ascii="Century Gothic" w:hAnsi="Century Gothic"/>
          <w:sz w:val="22"/>
          <w:szCs w:val="22"/>
        </w:rPr>
        <w:t>.</w:t>
      </w:r>
    </w:p>
    <w:p w:rsidR="007A7D34" w:rsidRPr="00FC1530" w:rsidRDefault="007A7D34" w:rsidP="007A7D34">
      <w:pPr>
        <w:pStyle w:val="BodyText3"/>
        <w:jc w:val="both"/>
        <w:rPr>
          <w:rFonts w:ascii="Century Gothic" w:hAnsi="Century Gothic"/>
          <w:sz w:val="22"/>
          <w:szCs w:val="22"/>
        </w:rPr>
      </w:pPr>
      <w:r w:rsidRPr="00FC1530">
        <w:rPr>
          <w:rFonts w:ascii="Century Gothic" w:hAnsi="Century Gothic"/>
          <w:sz w:val="22"/>
          <w:szCs w:val="22"/>
        </w:rPr>
        <w:t xml:space="preserve">Prospective bidders should register for E-Procurement to enable them access the KPLC portal under “New Supplier Registration” found under the Tenders Tab. </w:t>
      </w:r>
    </w:p>
    <w:p w:rsidR="007A7D34" w:rsidRPr="00FC1530" w:rsidRDefault="007A7D34" w:rsidP="007A7D34">
      <w:pPr>
        <w:spacing w:line="240" w:lineRule="auto"/>
        <w:jc w:val="both"/>
        <w:rPr>
          <w:rFonts w:ascii="Century Gothic" w:hAnsi="Century Gothic"/>
          <w:b/>
          <w:i/>
          <w:iCs/>
        </w:rPr>
      </w:pPr>
      <w:r w:rsidRPr="00FC1530">
        <w:rPr>
          <w:rFonts w:ascii="Century Gothic" w:hAnsi="Century Gothic"/>
        </w:rPr>
        <w:t xml:space="preserve">Completed Tenders are to be </w:t>
      </w:r>
      <w:r w:rsidRPr="00FC1530">
        <w:rPr>
          <w:rFonts w:ascii="Century Gothic" w:hAnsi="Century Gothic"/>
          <w:b/>
        </w:rPr>
        <w:t>saved as PDF</w:t>
      </w:r>
      <w:r w:rsidRPr="00FC1530">
        <w:rPr>
          <w:rFonts w:ascii="Century Gothic" w:hAnsi="Century Gothic"/>
        </w:rPr>
        <w:t xml:space="preserve"> documents and submitted in the KPLC E-Procurement Web Portal </w:t>
      </w:r>
      <w:proofErr w:type="gramStart"/>
      <w:r w:rsidRPr="00FC1530">
        <w:rPr>
          <w:rFonts w:ascii="Century Gothic" w:hAnsi="Century Gothic"/>
        </w:rPr>
        <w:t>so as to</w:t>
      </w:r>
      <w:proofErr w:type="gramEnd"/>
      <w:r w:rsidRPr="00FC1530">
        <w:rPr>
          <w:rFonts w:ascii="Century Gothic" w:hAnsi="Century Gothic"/>
        </w:rPr>
        <w:t xml:space="preserve"> be received not later than the closing dates shown above.</w:t>
      </w:r>
    </w:p>
    <w:p w:rsidR="007A7D34" w:rsidRPr="00FC1530" w:rsidRDefault="007A7D34" w:rsidP="007A7D34">
      <w:pPr>
        <w:spacing w:line="240" w:lineRule="auto"/>
        <w:jc w:val="both"/>
        <w:rPr>
          <w:rFonts w:ascii="Century Gothic" w:hAnsi="Century Gothic"/>
        </w:rPr>
      </w:pPr>
      <w:r w:rsidRPr="00FC1530">
        <w:rPr>
          <w:rFonts w:ascii="Century Gothic" w:hAnsi="Century Gothic"/>
        </w:rPr>
        <w:t xml:space="preserve">Tenders </w:t>
      </w:r>
      <w:proofErr w:type="gramStart"/>
      <w:r w:rsidRPr="00FC1530">
        <w:rPr>
          <w:rFonts w:ascii="Century Gothic" w:hAnsi="Century Gothic"/>
        </w:rPr>
        <w:t>will be opened</w:t>
      </w:r>
      <w:proofErr w:type="gramEnd"/>
      <w:r w:rsidRPr="00FC1530">
        <w:rPr>
          <w:rFonts w:ascii="Century Gothic" w:hAnsi="Century Gothic"/>
        </w:rPr>
        <w:t xml:space="preserve"> electronically promptly after closing time and </w:t>
      </w:r>
      <w:r>
        <w:rPr>
          <w:rFonts w:ascii="Century Gothic" w:hAnsi="Century Gothic"/>
        </w:rPr>
        <w:t>b</w:t>
      </w:r>
      <w:r w:rsidRPr="00FC1530">
        <w:rPr>
          <w:rFonts w:ascii="Century Gothic" w:hAnsi="Century Gothic"/>
        </w:rPr>
        <w:t xml:space="preserve">idders or their representatives are welcome to witness the opening at the </w:t>
      </w:r>
      <w:r>
        <w:rPr>
          <w:rFonts w:ascii="Century Gothic" w:hAnsi="Century Gothic"/>
          <w:b/>
        </w:rPr>
        <w:t xml:space="preserve">Conference room, Stima House, </w:t>
      </w:r>
      <w:proofErr w:type="spellStart"/>
      <w:r>
        <w:rPr>
          <w:rFonts w:ascii="Century Gothic" w:hAnsi="Century Gothic"/>
          <w:b/>
        </w:rPr>
        <w:t>Nyeri</w:t>
      </w:r>
      <w:proofErr w:type="spellEnd"/>
      <w:r w:rsidRPr="00FC1530">
        <w:rPr>
          <w:rFonts w:ascii="Century Gothic" w:hAnsi="Century Gothic"/>
          <w:b/>
        </w:rPr>
        <w:t>.</w:t>
      </w:r>
    </w:p>
    <w:p w:rsidR="007A7D34" w:rsidRPr="00FC1530" w:rsidRDefault="007A7D34" w:rsidP="007A7D34">
      <w:pPr>
        <w:spacing w:line="240" w:lineRule="auto"/>
        <w:jc w:val="both"/>
        <w:rPr>
          <w:rFonts w:ascii="Century Gothic" w:hAnsi="Century Gothic"/>
        </w:rPr>
      </w:pPr>
      <w:r w:rsidRPr="00FC1530">
        <w:rPr>
          <w:rFonts w:ascii="Century Gothic" w:hAnsi="Century Gothic"/>
        </w:rPr>
        <w:t>Save when responding to KPLC’s request for clarification, bidders shall not contact or discuss any aspect of their tenders with KPLC after tender closing date before receipt of notification of award of tenders or letters of regret, as applicable. Any such contact shall lead to disqualification of the tenderer.</w:t>
      </w:r>
    </w:p>
    <w:p w:rsidR="007A7D34" w:rsidRDefault="007A7D34" w:rsidP="007A7D34">
      <w:pPr>
        <w:pStyle w:val="NoSpacing"/>
        <w:jc w:val="both"/>
        <w:rPr>
          <w:rFonts w:ascii="Century Gothic" w:hAnsi="Century Gothic"/>
          <w:b/>
          <w:u w:val="single"/>
        </w:rPr>
      </w:pPr>
    </w:p>
    <w:p w:rsidR="007A7D34" w:rsidRDefault="007A7D34" w:rsidP="007A7D34">
      <w:pPr>
        <w:pStyle w:val="NoSpacing"/>
        <w:jc w:val="both"/>
        <w:rPr>
          <w:rFonts w:ascii="Century Gothic" w:hAnsi="Century Gothic"/>
          <w:b/>
          <w:u w:val="single"/>
        </w:rPr>
      </w:pPr>
    </w:p>
    <w:p w:rsidR="007A7D34" w:rsidRPr="00FC1530" w:rsidRDefault="007A7D34" w:rsidP="007A7D34">
      <w:pPr>
        <w:pStyle w:val="NoSpacing"/>
        <w:jc w:val="both"/>
        <w:rPr>
          <w:rFonts w:ascii="Century Gothic" w:hAnsi="Century Gothic"/>
          <w:b/>
          <w:u w:val="single"/>
        </w:rPr>
      </w:pPr>
    </w:p>
    <w:p w:rsidR="007A7D34" w:rsidRPr="00FC1530" w:rsidRDefault="007A7D34" w:rsidP="007A7D34">
      <w:pPr>
        <w:pStyle w:val="NoSpacing"/>
        <w:jc w:val="both"/>
        <w:rPr>
          <w:rFonts w:ascii="Century Gothic" w:hAnsi="Century Gothic"/>
          <w:b/>
          <w:u w:val="single"/>
        </w:rPr>
      </w:pPr>
    </w:p>
    <w:p w:rsidR="007A7D34" w:rsidRPr="00B31BE5" w:rsidRDefault="007A7D34" w:rsidP="007A7D34">
      <w:pPr>
        <w:pStyle w:val="NoSpacing"/>
        <w:jc w:val="both"/>
        <w:rPr>
          <w:rFonts w:ascii="Century Gothic" w:hAnsi="Century Gothic"/>
          <w:b/>
        </w:rPr>
      </w:pPr>
      <w:r w:rsidRPr="00B31BE5">
        <w:rPr>
          <w:rFonts w:ascii="Century Gothic" w:hAnsi="Century Gothic"/>
          <w:b/>
        </w:rPr>
        <w:t>DR. JOHN NG’ENO</w:t>
      </w:r>
    </w:p>
    <w:p w:rsidR="007A7D34" w:rsidRPr="00FC1530" w:rsidRDefault="007A7D34" w:rsidP="007A7D34">
      <w:pPr>
        <w:pStyle w:val="NoSpacing"/>
        <w:jc w:val="both"/>
        <w:rPr>
          <w:rFonts w:ascii="Century Gothic" w:hAnsi="Century Gothic"/>
          <w:b/>
          <w:u w:val="single"/>
        </w:rPr>
      </w:pPr>
      <w:r w:rsidRPr="00B31BE5">
        <w:rPr>
          <w:rFonts w:ascii="Century Gothic" w:hAnsi="Century Gothic"/>
          <w:b/>
          <w:u w:val="single"/>
        </w:rPr>
        <w:t>GENERAL MANAGER, SUPPLY CHAIN &amp; LOGISTICS</w:t>
      </w:r>
    </w:p>
    <w:p w:rsidR="00047ADB" w:rsidRDefault="00047ADB">
      <w:bookmarkStart w:id="0" w:name="_GoBack"/>
      <w:bookmarkEnd w:id="0"/>
    </w:p>
    <w:sectPr w:rsidR="00047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34"/>
    <w:rsid w:val="00047ADB"/>
    <w:rsid w:val="007A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FBBE9-83C6-4FBB-9725-1FF88A38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34"/>
    <w:pPr>
      <w:spacing w:after="200" w:line="276" w:lineRule="auto"/>
    </w:pPr>
    <w:rPr>
      <w:rFonts w:ascii="Calibri" w:eastAsia="Calibri" w:hAnsi="Calibri" w:cs="Times New Roman"/>
      <w:lang w:val="en-US"/>
    </w:rPr>
  </w:style>
  <w:style w:type="paragraph" w:styleId="Heading3">
    <w:name w:val="heading 3"/>
    <w:basedOn w:val="Normal"/>
    <w:next w:val="Normal"/>
    <w:link w:val="Heading3Char"/>
    <w:qFormat/>
    <w:rsid w:val="007A7D34"/>
    <w:pPr>
      <w:keepNext/>
      <w:spacing w:after="0" w:line="240" w:lineRule="auto"/>
      <w:outlineLvl w:val="2"/>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D34"/>
    <w:rPr>
      <w:rFonts w:ascii="Times New Roman" w:eastAsia="Times New Roman" w:hAnsi="Times New Roman" w:cs="Times New Roman"/>
      <w:sz w:val="24"/>
      <w:szCs w:val="20"/>
    </w:rPr>
  </w:style>
  <w:style w:type="paragraph" w:styleId="BodyText2">
    <w:name w:val="Body Text 2"/>
    <w:basedOn w:val="Normal"/>
    <w:link w:val="BodyText2Char"/>
    <w:rsid w:val="007A7D34"/>
    <w:pPr>
      <w:spacing w:after="0" w:line="24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7A7D34"/>
    <w:rPr>
      <w:rFonts w:ascii="Times New Roman" w:eastAsia="Times New Roman" w:hAnsi="Times New Roman" w:cs="Times New Roman"/>
      <w:sz w:val="24"/>
      <w:szCs w:val="20"/>
    </w:rPr>
  </w:style>
  <w:style w:type="paragraph" w:customStyle="1" w:styleId="Head21">
    <w:name w:val="Head 2.1"/>
    <w:basedOn w:val="Normal"/>
    <w:rsid w:val="007A7D34"/>
    <w:pPr>
      <w:suppressAutoHyphens/>
      <w:spacing w:after="0" w:line="240" w:lineRule="auto"/>
      <w:jc w:val="center"/>
    </w:pPr>
    <w:rPr>
      <w:rFonts w:ascii="Times New Roman" w:eastAsia="Times New Roman" w:hAnsi="Times New Roman"/>
      <w:b/>
      <w:sz w:val="24"/>
      <w:szCs w:val="20"/>
    </w:rPr>
  </w:style>
  <w:style w:type="paragraph" w:styleId="BodyText3">
    <w:name w:val="Body Text 3"/>
    <w:basedOn w:val="Normal"/>
    <w:link w:val="BodyText3Char"/>
    <w:rsid w:val="007A7D3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7A7D34"/>
    <w:rPr>
      <w:rFonts w:ascii="Times New Roman" w:eastAsia="Times New Roman" w:hAnsi="Times New Roman" w:cs="Times New Roman"/>
      <w:sz w:val="16"/>
      <w:szCs w:val="16"/>
      <w:lang w:val="en-US"/>
    </w:rPr>
  </w:style>
  <w:style w:type="paragraph" w:styleId="NoSpacing">
    <w:name w:val="No Spacing"/>
    <w:uiPriority w:val="1"/>
    <w:qFormat/>
    <w:rsid w:val="007A7D34"/>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A7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plc.co.k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 Kamau</dc:creator>
  <cp:keywords/>
  <dc:description/>
  <cp:lastModifiedBy>Kennedy M. Kamau</cp:lastModifiedBy>
  <cp:revision>1</cp:revision>
  <dcterms:created xsi:type="dcterms:W3CDTF">2023-10-19T08:35:00Z</dcterms:created>
  <dcterms:modified xsi:type="dcterms:W3CDTF">2023-10-19T08:35:00Z</dcterms:modified>
</cp:coreProperties>
</file>